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0"/>
        </w:tabs>
        <w:snapToGrid w:val="0"/>
        <w:spacing w:line="360" w:lineRule="auto"/>
        <w:jc w:val="center"/>
        <w:rPr>
          <w:rFonts w:ascii="宋体" w:hAnsi="宋体"/>
          <w:b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综合评分标准</w:t>
      </w:r>
    </w:p>
    <w:tbl>
      <w:tblPr>
        <w:tblStyle w:val="3"/>
        <w:tblW w:w="9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668"/>
        <w:gridCol w:w="779"/>
        <w:gridCol w:w="6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3" w:type="dxa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评审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因素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评审内容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最高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6421" w:type="dxa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评审内容说明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1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商务</w:t>
            </w:r>
          </w:p>
          <w:p>
            <w:pPr>
              <w:spacing w:line="360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部分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1.相关经验业绩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42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申报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具有类似项目业绩，具有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服务企业科技工作者的丰富工作经验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，有熟悉了解科协业务的优先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优（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0分）良（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分）一般（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分）差（0-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111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技术</w:t>
            </w:r>
          </w:p>
          <w:p>
            <w:pPr>
              <w:spacing w:line="360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部分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2.服务能力及执行团队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42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1.申报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是否具备承担项目实施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的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综合服务能力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具有完成项目要求全部内容的服务能力（具体要求详见通知）。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2.项目执行团队结构合理、人数充足，配备专项工作团队，并明确职责分工；具有相关业务专业水平，符合项目工作要求；项目骨干人员拥有丰富类似项目工作经验。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优（22-30分）良（14-21分）一般（7-13分）差（0-6分）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3.基础保障条件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42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申报单位具备满足项目要求、实施项目所必备的保障条件，具有完成该项目任务所需的社会资源，建立相关的工作和管理制度，全程跟踪服务项目。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优（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0分）良（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分）一般（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分）差（0-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4.执行方案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42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1.申报单位具体执行方案是否细化，是否符合项目要求，具有针对性、可操作性。整体项目实施是否能达到项目预期效果。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2.项目进度安排合理，满足项目要求。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优（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0分）良（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分）一般（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分）差（0-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11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价格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报价评审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42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采用低价优先法计算，即满足不高于项目限额且报价最低的报价为评审基准价，其价格分为满分。其他供应商的价格分按照下列公式计算：价格得分=（评审基准价／供应商报价）×10%×100。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MDU1MDdjNzFhNDI1MTM2ZDI4ZTZkNGZkOTA0ZmUifQ=="/>
  </w:docVars>
  <w:rsids>
    <w:rsidRoot w:val="00000000"/>
    <w:rsid w:val="2E8F3F2F"/>
    <w:rsid w:val="5DE1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before="1200" w:line="20" w:lineRule="exact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2024-05-31T05:38:00Z</dcterms:created>
  <dc:creator>Administrator</dc:creator>
  <cp:lastModifiedBy>刘潭影</cp:lastModifiedBy>
  <dcterms:modified xsi:type="dcterms:W3CDTF">2024-05-31T06:18:02Z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DFD1303E05404C59814CDD85CA6D399A_12</vt:lpwstr>
  </property>
</Properties>
</file>